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10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097B08" w:rsidRPr="00720C0E" w:rsidRDefault="00510043" w:rsidP="00097B08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097B08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097B08" w:rsidRPr="00720C0E">
        <w:rPr>
          <w:rFonts w:cs="Times New Roman"/>
          <w:sz w:val="28"/>
          <w:szCs w:val="28"/>
        </w:rPr>
        <w:t xml:space="preserve">района </w:t>
      </w:r>
      <w:r w:rsidR="00720C0E" w:rsidRPr="00720C0E">
        <w:rPr>
          <w:rFonts w:cs="Times New Roman"/>
          <w:sz w:val="28"/>
          <w:szCs w:val="28"/>
        </w:rPr>
        <w:t>«Об утверждении Порядка предотвращения  и (или) урегулирования конфликта интересов главы муниципального образования»</w:t>
      </w:r>
    </w:p>
    <w:p w:rsidR="00510043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</w:t>
      </w:r>
      <w:proofErr w:type="gramStart"/>
      <w:r>
        <w:rPr>
          <w:sz w:val="28"/>
          <w:szCs w:val="28"/>
        </w:rPr>
        <w:t>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</w:t>
      </w:r>
      <w:proofErr w:type="gramEnd"/>
      <w:r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>
        <w:rPr>
          <w:sz w:val="28"/>
          <w:szCs w:val="28"/>
        </w:rPr>
        <w:t>п</w:t>
      </w:r>
      <w:r w:rsidR="00097B08" w:rsidRPr="00097B08">
        <w:rPr>
          <w:rFonts w:cs="Times New Roman"/>
          <w:sz w:val="28"/>
          <w:szCs w:val="28"/>
        </w:rPr>
        <w:t xml:space="preserve">роект </w:t>
      </w:r>
      <w:r w:rsidR="0089334E" w:rsidRPr="00097B08">
        <w:rPr>
          <w:rFonts w:cs="Times New Roman"/>
          <w:sz w:val="28"/>
          <w:szCs w:val="28"/>
        </w:rPr>
        <w:t xml:space="preserve"> </w:t>
      </w:r>
      <w:r w:rsidR="0089334E">
        <w:rPr>
          <w:rFonts w:cs="Times New Roman"/>
          <w:sz w:val="28"/>
          <w:szCs w:val="28"/>
        </w:rPr>
        <w:t xml:space="preserve">решения Совета </w:t>
      </w:r>
      <w:r w:rsidR="0089334E" w:rsidRPr="00097B08">
        <w:rPr>
          <w:rFonts w:cs="Times New Roman"/>
          <w:sz w:val="28"/>
          <w:szCs w:val="28"/>
        </w:rPr>
        <w:t xml:space="preserve">Новодеревянковского сельского поселения Каневского района </w:t>
      </w:r>
      <w:r w:rsidR="00720C0E" w:rsidRPr="00720C0E">
        <w:rPr>
          <w:rFonts w:cs="Times New Roman"/>
          <w:sz w:val="28"/>
          <w:szCs w:val="28"/>
        </w:rPr>
        <w:t>«Об утверждении Порядка предотвращения  и (или) урегулирования конфликта интересов главы муниципального образования»</w:t>
      </w:r>
      <w:r w:rsidR="00720C0E" w:rsidRPr="00720C0E">
        <w:rPr>
          <w:rFonts w:cs="Times New Roman"/>
          <w:sz w:val="28"/>
          <w:szCs w:val="28"/>
        </w:rPr>
        <w:t xml:space="preserve"> </w:t>
      </w:r>
      <w:r w:rsidRPr="00720C0E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37" w:rsidRDefault="00102237">
      <w:r>
        <w:separator/>
      </w:r>
    </w:p>
  </w:endnote>
  <w:endnote w:type="continuationSeparator" w:id="0">
    <w:p w:rsidR="00102237" w:rsidRDefault="0010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37" w:rsidRDefault="00102237">
      <w:r>
        <w:separator/>
      </w:r>
    </w:p>
  </w:footnote>
  <w:footnote w:type="continuationSeparator" w:id="0">
    <w:p w:rsidR="00102237" w:rsidRDefault="00102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02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0C0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02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F0400"/>
    <w:rsid w:val="00297875"/>
    <w:rsid w:val="002C21D4"/>
    <w:rsid w:val="002C5110"/>
    <w:rsid w:val="002D1B98"/>
    <w:rsid w:val="00306BEA"/>
    <w:rsid w:val="003A2FC7"/>
    <w:rsid w:val="00431940"/>
    <w:rsid w:val="00470E00"/>
    <w:rsid w:val="004D6660"/>
    <w:rsid w:val="00510043"/>
    <w:rsid w:val="00532745"/>
    <w:rsid w:val="00556B48"/>
    <w:rsid w:val="005D3D5B"/>
    <w:rsid w:val="00720C0E"/>
    <w:rsid w:val="0089334E"/>
    <w:rsid w:val="009544B5"/>
    <w:rsid w:val="009F4982"/>
    <w:rsid w:val="00AD4606"/>
    <w:rsid w:val="00AF55C2"/>
    <w:rsid w:val="00B13034"/>
    <w:rsid w:val="00B27139"/>
    <w:rsid w:val="00B53F99"/>
    <w:rsid w:val="00BB6619"/>
    <w:rsid w:val="00CF3D9F"/>
    <w:rsid w:val="00DC15C2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2016-05-30T08:18:00Z</dcterms:created>
  <dcterms:modified xsi:type="dcterms:W3CDTF">2017-10-17T12:51:00Z</dcterms:modified>
</cp:coreProperties>
</file>